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F" w:rsidRDefault="008F77DF" w:rsidP="008F77DF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04CC65B" wp14:editId="6C624BB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DF" w:rsidRDefault="008F77DF" w:rsidP="008F77DF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4E2285" w:rsidRDefault="00052F7D" w:rsidP="002F1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МЕТОДИЧЕСКОЕ ПОСОБИЕ </w:t>
      </w:r>
    </w:p>
    <w:p w:rsidR="002F1A95" w:rsidRPr="008F77DF" w:rsidRDefault="002F1A95" w:rsidP="002F1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ЭЛЕКТРОННЫЙ БОЛЬНИЧНЫЙ</w:t>
      </w:r>
    </w:p>
    <w:p w:rsidR="008F77DF" w:rsidRDefault="008F77DF" w:rsidP="008F77DF">
      <w:pPr>
        <w:jc w:val="center"/>
        <w:rPr>
          <w:sz w:val="28"/>
          <w:szCs w:val="28"/>
        </w:rPr>
      </w:pPr>
    </w:p>
    <w:p w:rsidR="005E5443" w:rsidRDefault="005E5443" w:rsidP="008F77DF">
      <w:pPr>
        <w:jc w:val="center"/>
        <w:rPr>
          <w:sz w:val="28"/>
          <w:szCs w:val="28"/>
        </w:rPr>
      </w:pPr>
    </w:p>
    <w:p w:rsidR="002F1A95" w:rsidRDefault="005E5443" w:rsidP="008F77DF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E02C6F" wp14:editId="2C30E39A">
            <wp:extent cx="5940425" cy="3332578"/>
            <wp:effectExtent l="0" t="0" r="3175" b="1270"/>
            <wp:docPr id="2" name="Рисунок 2" descr="https://www.proaist.ru/upload/iblock/711/711956709fff9c89d8290d8e67fb5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aist.ru/upload/iblock/711/711956709fff9c89d8290d8e67fb50f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1A95" w:rsidRDefault="002F1A95" w:rsidP="008F77DF">
      <w:pPr>
        <w:jc w:val="center"/>
        <w:rPr>
          <w:sz w:val="28"/>
          <w:szCs w:val="28"/>
        </w:rPr>
      </w:pPr>
    </w:p>
    <w:p w:rsidR="002F1A95" w:rsidRDefault="002F1A95" w:rsidP="008F77DF">
      <w:pPr>
        <w:jc w:val="center"/>
        <w:rPr>
          <w:sz w:val="28"/>
          <w:szCs w:val="28"/>
        </w:rPr>
      </w:pPr>
    </w:p>
    <w:p w:rsidR="005E5443" w:rsidRDefault="005E5443" w:rsidP="008F77DF">
      <w:pPr>
        <w:jc w:val="center"/>
        <w:rPr>
          <w:sz w:val="28"/>
          <w:szCs w:val="28"/>
        </w:rPr>
      </w:pPr>
    </w:p>
    <w:p w:rsidR="002F1A95" w:rsidRDefault="002F1A95" w:rsidP="008F77DF">
      <w:pPr>
        <w:jc w:val="center"/>
        <w:rPr>
          <w:sz w:val="28"/>
          <w:szCs w:val="28"/>
        </w:rPr>
      </w:pPr>
    </w:p>
    <w:p w:rsidR="002F1A95" w:rsidRDefault="002F1A95" w:rsidP="008F77DF">
      <w:pPr>
        <w:jc w:val="center"/>
        <w:rPr>
          <w:sz w:val="28"/>
          <w:szCs w:val="28"/>
        </w:rPr>
      </w:pPr>
    </w:p>
    <w:p w:rsidR="002F1A95" w:rsidRDefault="002F1A95" w:rsidP="008F77DF">
      <w:pPr>
        <w:jc w:val="center"/>
        <w:rPr>
          <w:sz w:val="28"/>
          <w:szCs w:val="28"/>
        </w:rPr>
      </w:pPr>
    </w:p>
    <w:p w:rsidR="008F77DF" w:rsidRDefault="008F77DF" w:rsidP="008F77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 201</w:t>
      </w:r>
      <w:r w:rsidR="002F1A95">
        <w:rPr>
          <w:sz w:val="28"/>
          <w:szCs w:val="28"/>
        </w:rPr>
        <w:t>8</w:t>
      </w:r>
    </w:p>
    <w:p w:rsidR="002F1A95" w:rsidRPr="00F56B4F" w:rsidRDefault="002F1A95" w:rsidP="002F1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56B4F">
        <w:rPr>
          <w:rFonts w:ascii="Arial" w:hAnsi="Arial" w:cs="Arial"/>
          <w:b/>
          <w:bCs/>
          <w:sz w:val="24"/>
          <w:szCs w:val="24"/>
        </w:rPr>
        <w:lastRenderedPageBreak/>
        <w:t>1. Каков порядок выдачи электронного больничного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Больничный может быть выписан только в каком-то одном виде: либо в бумажном, либо электронном (</w:t>
      </w:r>
      <w:hyperlink r:id="rId9" w:history="1">
        <w:r>
          <w:rPr>
            <w:rFonts w:ascii="Arial" w:hAnsi="Arial" w:cs="Arial"/>
            <w:color w:val="0000FF"/>
            <w:sz w:val="26"/>
            <w:szCs w:val="26"/>
          </w:rPr>
          <w:t>ч. 5 ст. 13</w:t>
        </w:r>
      </w:hyperlink>
      <w:r>
        <w:rPr>
          <w:rFonts w:ascii="Arial" w:hAnsi="Arial" w:cs="Arial"/>
          <w:sz w:val="26"/>
          <w:szCs w:val="26"/>
        </w:rPr>
        <w:t xml:space="preserve"> Закона о страховании на случай нетрудоспособности).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Рекомендуем предупредить работников о готовности организации принимать электронные больничные. В противном случае его придется менять на бумажный вариант (</w:t>
      </w:r>
      <w:hyperlink r:id="rId10" w:history="1">
        <w:r>
          <w:rPr>
            <w:rFonts w:ascii="Arial" w:hAnsi="Arial" w:cs="Arial"/>
            <w:color w:val="0000FF"/>
            <w:sz w:val="26"/>
            <w:szCs w:val="26"/>
          </w:rPr>
          <w:t>Письмо</w:t>
        </w:r>
      </w:hyperlink>
      <w:r>
        <w:rPr>
          <w:rFonts w:ascii="Arial" w:hAnsi="Arial" w:cs="Arial"/>
          <w:sz w:val="26"/>
          <w:szCs w:val="26"/>
        </w:rPr>
        <w:t xml:space="preserve"> ФСС РФ от 11.08.2017 N 02-09-11/22-05-13462).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письменного согласия работника медицинская организация оформляет электронный больничный.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Оформление электронного больничного производится в ЕИИС "Соцстрах" (</w:t>
      </w:r>
      <w:hyperlink r:id="rId11" w:history="1">
        <w:r>
          <w:rPr>
            <w:rFonts w:ascii="Arial" w:hAnsi="Arial" w:cs="Arial"/>
            <w:color w:val="0000FF"/>
            <w:sz w:val="26"/>
            <w:szCs w:val="26"/>
          </w:rPr>
          <w:t>п. 3</w:t>
        </w:r>
      </w:hyperlink>
      <w:r>
        <w:rPr>
          <w:rFonts w:ascii="Arial" w:hAnsi="Arial" w:cs="Arial"/>
          <w:sz w:val="26"/>
          <w:szCs w:val="26"/>
        </w:rPr>
        <w:t xml:space="preserve"> Правил информационного взаимодействия при формировании электронного больничного). При этом медицинская организация не взаимодействует с работодателем - каждый заполняет свою часть больничного.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закрытия электронного больничного медицинская организация выдает работнику номер листка нетрудоспособности. Этот номер он должен предъявить работодателю.</w:t>
      </w:r>
    </w:p>
    <w:p w:rsidR="002F1A95" w:rsidRDefault="002F1A95" w:rsidP="002F1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F1A95" w:rsidRDefault="002F1A95" w:rsidP="002F1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F83FD79" wp14:editId="559FCF37">
            <wp:extent cx="5939155" cy="4133850"/>
            <wp:effectExtent l="0" t="0" r="4445" b="0"/>
            <wp:docPr id="4" name="Рисунок 4" descr="https://kontur.ru/Files/userfiles/file/articles/12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tur.ru/Files/userfiles/file/articles/1200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13" cy="41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95" w:rsidRDefault="002F1A95" w:rsidP="002F1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F1A95" w:rsidRDefault="002F1A95" w:rsidP="002F1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F1A95" w:rsidRDefault="002F1A95" w:rsidP="002F1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F1A95" w:rsidRPr="00F56B4F" w:rsidRDefault="002F1A95" w:rsidP="002F1A9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F56B4F">
        <w:rPr>
          <w:rFonts w:ascii="Arial" w:hAnsi="Arial" w:cs="Arial"/>
          <w:b/>
          <w:bCs/>
          <w:sz w:val="24"/>
          <w:szCs w:val="24"/>
        </w:rPr>
        <w:lastRenderedPageBreak/>
        <w:t>2. Как работодателю подготовиться к работе с электронными больничными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Чтобы принимать электронные больничные, работодателю нужно:</w:t>
      </w:r>
    </w:p>
    <w:p w:rsidR="002F1A95" w:rsidRDefault="002F1A95" w:rsidP="002F1A95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260"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Заключить с региональным отделением ФСС РФ соглашение об информационном взаимодействии.</w:t>
      </w:r>
    </w:p>
    <w:p w:rsidR="002F1A95" w:rsidRDefault="002F1A95" w:rsidP="002F1A95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260"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Получить усиленную квалифицированную подпись юридического лица.</w:t>
      </w:r>
    </w:p>
    <w:p w:rsidR="002F1A95" w:rsidRDefault="002F1A95" w:rsidP="002F1A95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260"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Установить специальную программу для проверки электронной подписи и защиты информации (</w:t>
      </w:r>
      <w:proofErr w:type="spellStart"/>
      <w:r>
        <w:rPr>
          <w:rFonts w:ascii="Arial" w:hAnsi="Arial" w:cs="Arial"/>
          <w:sz w:val="26"/>
          <w:szCs w:val="26"/>
        </w:rPr>
        <w:t>криптопровайдер</w:t>
      </w:r>
      <w:proofErr w:type="spellEnd"/>
      <w:r>
        <w:rPr>
          <w:rFonts w:ascii="Arial" w:hAnsi="Arial" w:cs="Arial"/>
          <w:sz w:val="26"/>
          <w:szCs w:val="26"/>
        </w:rPr>
        <w:t>).</w:t>
      </w:r>
    </w:p>
    <w:p w:rsidR="002F1A95" w:rsidRDefault="002F1A95" w:rsidP="002F1A95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260"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Выбрать вариант программного обеспечения для работы.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Таких вариантов три (</w:t>
      </w:r>
      <w:proofErr w:type="spellStart"/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HYPERLINK consultantplus://offline/ref=ED236F1B2F0D85EA18407EDCF82FCAC18257CB61D3BD58226C4B3CF3D813A4243B938887C3E98E0B44jAL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color w:val="0000FF"/>
          <w:sz w:val="26"/>
          <w:szCs w:val="26"/>
        </w:rPr>
        <w:t>пп</w:t>
      </w:r>
      <w:proofErr w:type="spellEnd"/>
      <w:r>
        <w:rPr>
          <w:rFonts w:ascii="Arial" w:hAnsi="Arial" w:cs="Arial"/>
          <w:color w:val="0000FF"/>
          <w:sz w:val="26"/>
          <w:szCs w:val="26"/>
        </w:rPr>
        <w:t>. "а" п. 10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 Правил информационного взаимодействия при формировании электронного больничного):</w:t>
      </w:r>
    </w:p>
    <w:p w:rsidR="002F1A95" w:rsidRDefault="002F1A95" w:rsidP="002F1A95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before="260"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работать</w:t>
      </w:r>
      <w:proofErr w:type="gramEnd"/>
      <w:r>
        <w:rPr>
          <w:rFonts w:ascii="Arial" w:hAnsi="Arial" w:cs="Arial"/>
          <w:sz w:val="26"/>
          <w:szCs w:val="26"/>
        </w:rPr>
        <w:t xml:space="preserve"> через личный кабинет страхователя на сайте www.cabinets.fss.ru/. Для этого надо зарегистрироваться на Едином портале государственных и муниципальных услуг и использовать эту учетную запись для доступа к личному кабинету;</w:t>
      </w:r>
    </w:p>
    <w:p w:rsidR="002F1A95" w:rsidRDefault="002F1A95" w:rsidP="002F1A95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before="260"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установить</w:t>
      </w:r>
      <w:proofErr w:type="gramEnd"/>
      <w:r>
        <w:rPr>
          <w:rFonts w:ascii="Arial" w:hAnsi="Arial" w:cs="Arial"/>
          <w:sz w:val="26"/>
          <w:szCs w:val="26"/>
        </w:rPr>
        <w:t xml:space="preserve"> программу АРМ "Подготовка расчетов ФСС". Ее можно скачать на сайте фонда;</w:t>
      </w:r>
    </w:p>
    <w:p w:rsidR="002F1A95" w:rsidRDefault="002F1A95" w:rsidP="002F1A95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before="260"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использовать</w:t>
      </w:r>
      <w:proofErr w:type="gramEnd"/>
      <w:r>
        <w:rPr>
          <w:rFonts w:ascii="Arial" w:hAnsi="Arial" w:cs="Arial"/>
          <w:sz w:val="26"/>
          <w:szCs w:val="26"/>
        </w:rPr>
        <w:t xml:space="preserve"> бухгалтерские программы, в которых есть возможность работы с электронными больничными.</w:t>
      </w:r>
    </w:p>
    <w:p w:rsidR="002F1A95" w:rsidRDefault="002F1A95" w:rsidP="002F1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F1A95" w:rsidRPr="00F56B4F" w:rsidRDefault="002F1A95" w:rsidP="002F1A9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F56B4F">
        <w:rPr>
          <w:rFonts w:ascii="Arial" w:hAnsi="Arial" w:cs="Arial"/>
          <w:b/>
          <w:bCs/>
          <w:sz w:val="24"/>
          <w:szCs w:val="24"/>
        </w:rPr>
        <w:t>3. Как работодателю получить электронный больничный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Электронный больничный нужно найти в ЕИИС "Соцстрах" по номеру, который представил работник, и по его СНИЛС.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Затем электронный больничный надо запросить из Базы данных ФСС.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его получения можно приступать к заполнению раздела работодателя.</w:t>
      </w:r>
    </w:p>
    <w:p w:rsidR="002F1A95" w:rsidRDefault="002F1A95" w:rsidP="002F1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F1A95" w:rsidRPr="00F56B4F" w:rsidRDefault="002F1A95" w:rsidP="002F1A9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F56B4F">
        <w:rPr>
          <w:rFonts w:ascii="Arial" w:hAnsi="Arial" w:cs="Arial"/>
          <w:b/>
          <w:bCs/>
          <w:sz w:val="24"/>
          <w:szCs w:val="24"/>
        </w:rPr>
        <w:t>4. Как работодателю заполнить электронный больничный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разделе "Заполняется работодателем" нужно заполнить все графы (</w:t>
      </w:r>
      <w:proofErr w:type="spellStart"/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HYPERLINK consultantplus://offline/ref=ED236F1B2F0D85EA18407EDCF82FCAC18257CB61D3BD58226C4B3CF3D813A4243B938887C3E98E0B44jCL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color w:val="0000FF"/>
          <w:sz w:val="26"/>
          <w:szCs w:val="26"/>
        </w:rPr>
        <w:t>пп</w:t>
      </w:r>
      <w:proofErr w:type="spellEnd"/>
      <w:r>
        <w:rPr>
          <w:rFonts w:ascii="Arial" w:hAnsi="Arial" w:cs="Arial"/>
          <w:color w:val="0000FF"/>
          <w:sz w:val="26"/>
          <w:szCs w:val="26"/>
        </w:rPr>
        <w:t>. "в" п. 11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 Правил информационного взаимодействия при формировании электронного больничного). Они не отличаются от граф аналогичного </w:t>
      </w:r>
      <w:hyperlink r:id="rId13" w:history="1">
        <w:r>
          <w:rPr>
            <w:rFonts w:ascii="Arial" w:hAnsi="Arial" w:cs="Arial"/>
            <w:color w:val="0000FF"/>
            <w:sz w:val="26"/>
            <w:szCs w:val="26"/>
          </w:rPr>
          <w:t>раздела</w:t>
        </w:r>
      </w:hyperlink>
      <w:r>
        <w:rPr>
          <w:rFonts w:ascii="Arial" w:hAnsi="Arial" w:cs="Arial"/>
          <w:sz w:val="26"/>
          <w:szCs w:val="26"/>
        </w:rPr>
        <w:t xml:space="preserve"> бумажного варианта листка нетрудоспособности, утвержденного Приказом Минздравсоцразвития России от 26.04.2011 N 347н.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Например, это графы: "средний заработок для исчисления пособия", "страховой стаж (лет) (мес.)", "итого к начислению", "дата начала работы".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даты выбираются из всплывающих календарей.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Суммы проставляются в рублях и копейках через знак "." (точка).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Далее надо сохранить документ и заверить его электронной подписью. Данные автоматически уйдут в фонд.</w:t>
      </w:r>
    </w:p>
    <w:p w:rsidR="002F1A95" w:rsidRDefault="002F1A95" w:rsidP="002F1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F1A95" w:rsidRPr="00F56B4F" w:rsidRDefault="002F1A95" w:rsidP="002F1A9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F56B4F">
        <w:rPr>
          <w:rFonts w:ascii="Arial" w:hAnsi="Arial" w:cs="Arial"/>
          <w:b/>
          <w:bCs/>
          <w:sz w:val="24"/>
          <w:szCs w:val="24"/>
        </w:rPr>
        <w:t>5. Каков порядок оплаты электронного больничного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Порядок оплаты электронного больничного ничем не отличается от оплаты больничного в бумажном виде. Размер пособия рассчитывает работодатель и указывает в соответствующих графах заполняемого им раздела.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Если работодатель выплачивает пособия </w:t>
      </w:r>
      <w:r>
        <w:rPr>
          <w:rFonts w:ascii="Arial" w:hAnsi="Arial" w:cs="Arial"/>
          <w:b/>
          <w:bCs/>
          <w:sz w:val="26"/>
          <w:szCs w:val="26"/>
        </w:rPr>
        <w:t>по общему правилу</w:t>
      </w:r>
      <w:r>
        <w:rPr>
          <w:rFonts w:ascii="Arial" w:hAnsi="Arial" w:cs="Arial"/>
          <w:sz w:val="26"/>
          <w:szCs w:val="26"/>
        </w:rPr>
        <w:t>, т.е. с зачетом по страховым взносам, то надо назначить пособие в течение 10 календарных дней со дня, когда работник предъявил номер электронного больничного (</w:t>
      </w:r>
      <w:hyperlink r:id="rId14" w:history="1">
        <w:r>
          <w:rPr>
            <w:rFonts w:ascii="Arial" w:hAnsi="Arial" w:cs="Arial"/>
            <w:color w:val="0000FF"/>
            <w:sz w:val="26"/>
            <w:szCs w:val="26"/>
          </w:rPr>
          <w:t>ч. 1 ст. 15</w:t>
        </w:r>
      </w:hyperlink>
      <w:r>
        <w:rPr>
          <w:rFonts w:ascii="Arial" w:hAnsi="Arial" w:cs="Arial"/>
          <w:sz w:val="26"/>
          <w:szCs w:val="26"/>
        </w:rPr>
        <w:t xml:space="preserve"> Закона о страховании на случай нетрудоспособности). Саму выплату нужно произвести в ближайшую зарплату.</w:t>
      </w:r>
    </w:p>
    <w:p w:rsidR="002F1A95" w:rsidRDefault="002F1A95" w:rsidP="002F1A95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F1A95" w:rsidRPr="009E3BE2" w:rsidRDefault="002F1A95" w:rsidP="002F1A9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 w:rsidRPr="009E3BE2">
        <w:rPr>
          <w:rFonts w:ascii="Arial" w:hAnsi="Arial" w:cs="Arial"/>
          <w:b/>
          <w:bCs/>
          <w:sz w:val="24"/>
          <w:szCs w:val="24"/>
        </w:rPr>
        <w:t>Преимущества и недостатки системы</w:t>
      </w:r>
    </w:p>
    <w:p w:rsidR="0055077C" w:rsidRPr="0055077C" w:rsidRDefault="0055077C" w:rsidP="00550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Таблица 1. Достоинства и недостатки оформления больничных листов в электронном виде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677"/>
      </w:tblGrid>
      <w:tr w:rsidR="0055077C" w:rsidRPr="0055077C" w:rsidTr="0055077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Достоинства ЭЛН</w:t>
            </w:r>
          </w:p>
        </w:tc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Минусы ЭЛН</w:t>
            </w:r>
          </w:p>
        </w:tc>
      </w:tr>
      <w:tr w:rsidR="0055077C" w:rsidRPr="0055077C" w:rsidTr="0055077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владельце ЭЛН вводятся один раз и не требуют повторного занесения, что высвобождает время врача на общение с пациентом.</w:t>
            </w:r>
          </w:p>
        </w:tc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и выдавать электронные листки нетрудоспособности пока невозможно, если врач вызван пациенту на дом. Вероятно, в будущем будет разработан специальный гаджет.</w:t>
            </w:r>
          </w:p>
        </w:tc>
      </w:tr>
      <w:tr w:rsidR="0055077C" w:rsidRPr="0055077C" w:rsidTr="0055077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больничные невозможно испортить, что в масштабе страны приводит к существенной экономии.</w:t>
            </w:r>
          </w:p>
        </w:tc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технология плохо усваивается медработниками старшего поколения и сотрудниками, плохо разбирающимися в компьютерных программах. Ее внедрение требует их дополнительного обучения.</w:t>
            </w:r>
          </w:p>
        </w:tc>
      </w:tr>
      <w:tr w:rsidR="0055077C" w:rsidRPr="0055077C" w:rsidTr="0055077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ЛН гораздо сложнее подделать – это требует высокой технической грамотности, специальных знаний и трудоемкой работы.</w:t>
            </w:r>
          </w:p>
        </w:tc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вирусные атаки, после которых хранящиеся в системе данные могут быть либо полностью уничтожены, либо изменены на неверные.</w:t>
            </w:r>
          </w:p>
        </w:tc>
      </w:tr>
      <w:tr w:rsidR="0055077C" w:rsidRPr="0055077C" w:rsidTr="0055077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расчетах пособия допускается меньше непреднамеренных ошибок, их легче проверить и исправить.</w:t>
            </w:r>
          </w:p>
        </w:tc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единой системе «Соцстрах» потребует дополнительных денежных вложений (приобретение компьютеров, программное обеспечение, обучающие мероприятия и т.д.).</w:t>
            </w:r>
          </w:p>
        </w:tc>
      </w:tr>
      <w:tr w:rsidR="0055077C" w:rsidRPr="0055077C" w:rsidTr="0055077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Отпадает необходимость в многочисленных проверках со стороны страховщика.</w:t>
            </w:r>
          </w:p>
        </w:tc>
        <w:tc>
          <w:tcPr>
            <w:tcW w:w="4785" w:type="dxa"/>
            <w:vAlign w:val="center"/>
            <w:hideMark/>
          </w:tcPr>
          <w:p w:rsidR="0055077C" w:rsidRPr="0055077C" w:rsidRDefault="0055077C" w:rsidP="005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Неумелое обращение врача с программой, зависание и иные проблемы с техникой, могут не экономить время, а, напротив, делать визиты к специалистам еще более длительными.</w:t>
            </w:r>
          </w:p>
        </w:tc>
      </w:tr>
    </w:tbl>
    <w:p w:rsidR="002F1A95" w:rsidRPr="009E3BE2" w:rsidRDefault="002F1A95" w:rsidP="002F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B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Электронные листки нетрудоспособности позволяют медикам и работодателям быстрее обрабатывать документы, назначать пособия и обслуживать сотрудников без причинения дискомфорта. </w:t>
      </w:r>
    </w:p>
    <w:p w:rsidR="002F1A95" w:rsidRDefault="002F1A95" w:rsidP="002F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E3BE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Чтобы работать в единой базе, все участники процесса должны иметь необходимое оборудование и навыки, а заполнение самих листов практически не отличается от бумажных вариантов, за исключением возможности править ошибки.</w:t>
      </w:r>
    </w:p>
    <w:p w:rsidR="005E5443" w:rsidRDefault="005E5443" w:rsidP="002F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E5443" w:rsidRPr="009E3BE2" w:rsidRDefault="005E5443" w:rsidP="002F1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FA4EFF" wp14:editId="1AB5407D">
            <wp:extent cx="5400135" cy="2686050"/>
            <wp:effectExtent l="0" t="0" r="0" b="0"/>
            <wp:docPr id="6" name="Рисунок 6" descr="https://www.klerk.ru/img/pb/thumb1000x615/ab60fd76a6449c63c5783e3fa2d4ded2_compressed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lerk.ru/img/pb/thumb1000x615/ab60fd76a6449c63c5783e3fa2d4ded2_compressed_v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95" cy="26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443" w:rsidRPr="009E3BE2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15" w:rsidRDefault="00F25E15" w:rsidP="008F77DF">
      <w:pPr>
        <w:spacing w:after="0" w:line="240" w:lineRule="auto"/>
      </w:pPr>
      <w:r>
        <w:separator/>
      </w:r>
    </w:p>
  </w:endnote>
  <w:endnote w:type="continuationSeparator" w:id="0">
    <w:p w:rsidR="00F25E15" w:rsidRDefault="00F25E15" w:rsidP="008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15" w:rsidRDefault="00F25E15" w:rsidP="008F77DF">
      <w:pPr>
        <w:spacing w:after="0" w:line="240" w:lineRule="auto"/>
      </w:pPr>
      <w:r>
        <w:separator/>
      </w:r>
    </w:p>
  </w:footnote>
  <w:footnote w:type="continuationSeparator" w:id="0">
    <w:p w:rsidR="00F25E15" w:rsidRDefault="00F25E15" w:rsidP="008F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F" w:rsidRDefault="008F77DF" w:rsidP="008F77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2" w15:restartNumberingAfterBreak="0">
    <w:nsid w:val="147220B2"/>
    <w:multiLevelType w:val="multilevel"/>
    <w:tmpl w:val="073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1427"/>
    <w:multiLevelType w:val="multilevel"/>
    <w:tmpl w:val="8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E6D9D"/>
    <w:multiLevelType w:val="multilevel"/>
    <w:tmpl w:val="DE8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56FD3"/>
    <w:multiLevelType w:val="multilevel"/>
    <w:tmpl w:val="74D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232F8"/>
    <w:multiLevelType w:val="multilevel"/>
    <w:tmpl w:val="3FD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9163F"/>
    <w:multiLevelType w:val="multilevel"/>
    <w:tmpl w:val="661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6388F"/>
    <w:multiLevelType w:val="multilevel"/>
    <w:tmpl w:val="1B9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7768F"/>
    <w:multiLevelType w:val="multilevel"/>
    <w:tmpl w:val="542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D"/>
    <w:rsid w:val="0001027C"/>
    <w:rsid w:val="00052F7D"/>
    <w:rsid w:val="0009366C"/>
    <w:rsid w:val="000B5A59"/>
    <w:rsid w:val="000D352B"/>
    <w:rsid w:val="000F17B1"/>
    <w:rsid w:val="000F1DDA"/>
    <w:rsid w:val="00125876"/>
    <w:rsid w:val="001532D1"/>
    <w:rsid w:val="00177053"/>
    <w:rsid w:val="001A21AD"/>
    <w:rsid w:val="001C7EAC"/>
    <w:rsid w:val="001D106F"/>
    <w:rsid w:val="00206A0F"/>
    <w:rsid w:val="00215FB5"/>
    <w:rsid w:val="00232FB6"/>
    <w:rsid w:val="0027631E"/>
    <w:rsid w:val="00295B4F"/>
    <w:rsid w:val="002B06E5"/>
    <w:rsid w:val="002F1A95"/>
    <w:rsid w:val="003A6D64"/>
    <w:rsid w:val="00425425"/>
    <w:rsid w:val="00451895"/>
    <w:rsid w:val="00461F7B"/>
    <w:rsid w:val="004E2285"/>
    <w:rsid w:val="004F2CC4"/>
    <w:rsid w:val="005177AB"/>
    <w:rsid w:val="0055077C"/>
    <w:rsid w:val="005611CD"/>
    <w:rsid w:val="00577A81"/>
    <w:rsid w:val="005E5443"/>
    <w:rsid w:val="00605942"/>
    <w:rsid w:val="006A5E80"/>
    <w:rsid w:val="00707511"/>
    <w:rsid w:val="007202DC"/>
    <w:rsid w:val="0073238D"/>
    <w:rsid w:val="0076575F"/>
    <w:rsid w:val="00866E29"/>
    <w:rsid w:val="00876AD5"/>
    <w:rsid w:val="008D6761"/>
    <w:rsid w:val="008F77DF"/>
    <w:rsid w:val="0094165E"/>
    <w:rsid w:val="00972E2E"/>
    <w:rsid w:val="00A440F1"/>
    <w:rsid w:val="00A81278"/>
    <w:rsid w:val="00AC192F"/>
    <w:rsid w:val="00B2375A"/>
    <w:rsid w:val="00B52BB5"/>
    <w:rsid w:val="00BD5BDC"/>
    <w:rsid w:val="00C40653"/>
    <w:rsid w:val="00CF00C4"/>
    <w:rsid w:val="00D034D4"/>
    <w:rsid w:val="00D83197"/>
    <w:rsid w:val="00DD3798"/>
    <w:rsid w:val="00EB6121"/>
    <w:rsid w:val="00F17DC8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6B69-A2BE-405C-9BEE-62A0DEC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DF"/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F"/>
  </w:style>
  <w:style w:type="paragraph" w:customStyle="1" w:styleId="formattext">
    <w:name w:val="formattext"/>
    <w:basedOn w:val="a"/>
    <w:rsid w:val="00D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ED236F1B2F0D85EA18407EDCF82FCAC1815ECB60D9BD58226C4B3CF3D813A4243B938887C3E98E0D44j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36F1B2F0D85EA18407EDCF82FCAC18257CB61D3BD58226C4B3CF3D813A4243B938887C3E98E0844j8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ED236F1B2F0D85EA184063C8EA47F0C7DE52CF64DAB250713B496DA6D616AC747383C6C2CEE88E094AD247j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36F1B2F0D85EA18407EDCF82FCAC1825EC862DEBC58226C4B3CF3D813A4243B938885C14Ej1L" TargetMode="External"/><Relationship Id="rId14" Type="http://schemas.openxmlformats.org/officeDocument/2006/relationships/hyperlink" Target="consultantplus://offline/ref=ED236F1B2F0D85EA18407EDCF82FCAC1825EC862DEBC58226C4B3CF3D813A4243B938884C24E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7</cp:revision>
  <cp:lastPrinted>2018-05-29T07:16:00Z</cp:lastPrinted>
  <dcterms:created xsi:type="dcterms:W3CDTF">2018-05-29T06:55:00Z</dcterms:created>
  <dcterms:modified xsi:type="dcterms:W3CDTF">2018-05-29T07:17:00Z</dcterms:modified>
</cp:coreProperties>
</file>